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atLeast"/>
        <w:jc w:val="center"/>
        <w:rPr>
          <w:rFonts w:hint="default" w:ascii="方正准圆_GBK" w:hAnsi="方正准圆_GBK" w:eastAsia="方正书宋_GBK"/>
          <w:sz w:val="42"/>
          <w:lang w:val="en-US" w:eastAsia="zh-CN"/>
        </w:rPr>
      </w:pPr>
      <w:r>
        <w:rPr>
          <w:rFonts w:hint="eastAsia" w:ascii="方正准圆_GBK" w:hAnsi="方正准圆_GBK"/>
          <w:sz w:val="42"/>
          <w:lang w:eastAsia="zh-CN"/>
        </w:rPr>
        <w:t>高三寒</w:t>
      </w:r>
      <w:bookmarkStart w:id="0" w:name="_GoBack"/>
      <w:bookmarkEnd w:id="0"/>
      <w:r>
        <w:rPr>
          <w:rFonts w:hint="eastAsia" w:ascii="方正准圆_GBK" w:hAnsi="方正准圆_GBK"/>
          <w:sz w:val="42"/>
          <w:lang w:eastAsia="zh-CN"/>
        </w:rPr>
        <w:t>假练习</w:t>
      </w:r>
      <w:r>
        <w:rPr>
          <w:rFonts w:hint="eastAsia" w:ascii="方正准圆_GBK" w:hAnsi="方正准圆_GBK"/>
          <w:sz w:val="42"/>
          <w:lang w:val="en-US" w:eastAsia="zh-CN"/>
        </w:rPr>
        <w:t>5</w:t>
      </w:r>
    </w:p>
    <w:p>
      <w:pPr>
        <w:spacing w:line="550" w:lineRule="atLeast"/>
        <w:jc w:val="center"/>
      </w:pPr>
      <w:r>
        <w:rPr>
          <w:rFonts w:ascii="方正准圆_GBK" w:hAnsi="方正准圆_GBK"/>
          <w:sz w:val="42"/>
        </w:rPr>
        <w:t>(</w:t>
      </w:r>
      <w:r>
        <w:rPr>
          <w:rFonts w:hint="default" w:eastAsia="方正准圆_GBK"/>
          <w:sz w:val="42"/>
        </w:rPr>
        <w:t>二</w:t>
      </w:r>
      <w:r>
        <w:rPr>
          <w:rFonts w:ascii="方正准圆_GBK" w:hAnsi="方正准圆_GBK"/>
          <w:sz w:val="42"/>
        </w:rPr>
        <w:t>)</w:t>
      </w:r>
      <w:r>
        <w:rPr>
          <w:rFonts w:hint="default" w:eastAsia="方正准圆_GBK"/>
          <w:sz w:val="42"/>
        </w:rPr>
        <w:t>因果型选择题</w:t>
      </w:r>
    </w:p>
    <w:p>
      <w:pPr>
        <w:spacing w:line="370" w:lineRule="exact"/>
      </w:pPr>
      <w:r>
        <w:rPr>
          <w:rFonts w:ascii="NEU-H5-S92" w:hAnsi="NEU-H5-S92"/>
          <w:sz w:val="24"/>
        </w:rPr>
        <w:t>1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两汉以来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对孔子的褒封日益隆重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孔子由子而圣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由凡圣而神圣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最终在汉代公羊学中成为后世立法的神。促成这些变化的主要原因是</w:t>
      </w:r>
    </w:p>
    <w:p>
      <w:pPr>
        <w:spacing w:line="340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“仁政”观念深入人心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儒家思想的神学化</w:t>
      </w:r>
    </w:p>
    <w:p>
      <w:pPr>
        <w:spacing w:line="340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儒家思想的官学化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君权神授观念的影响</w:t>
      </w:r>
    </w:p>
    <w:p>
      <w:pPr>
        <w:spacing w:line="370" w:lineRule="exact"/>
      </w:pPr>
      <w:r>
        <w:rPr>
          <w:rFonts w:hint="eastAsia" w:eastAsia="方正黑体_GBK"/>
          <w:sz w:val="18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2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下表是西汉部分丞相出身表</w:t>
      </w:r>
      <w:r>
        <w:rPr>
          <w:rFonts w:ascii="方正书宋_GBK" w:hAnsi="方正书宋_GBK"/>
        </w:rPr>
        <w:t>(</w:t>
      </w:r>
      <w:r>
        <w:rPr>
          <w:rFonts w:hint="default" w:eastAsia="方正书宋_GBK"/>
        </w:rPr>
        <w:t>单位</w:t>
      </w:r>
      <w:r>
        <w:rPr>
          <w:rFonts w:ascii="方正书宋_GBK" w:hAnsi="方正书宋_GBK"/>
        </w:rPr>
        <w:t>:</w:t>
      </w:r>
      <w:r>
        <w:rPr>
          <w:rFonts w:hint="default" w:eastAsia="方正书宋_GBK"/>
        </w:rPr>
        <w:t>人</w:t>
      </w:r>
      <w:r>
        <w:rPr>
          <w:rFonts w:ascii="方正书宋_GBK" w:hAnsi="方正书宋_GBK"/>
        </w:rPr>
        <w:t>),</w:t>
      </w:r>
      <w:r>
        <w:rPr>
          <w:rFonts w:hint="default" w:eastAsia="方正书宋_GBK"/>
        </w:rPr>
        <w:t>据此表可知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当时选用丞相主要考虑的因素是</w:t>
      </w:r>
    </w:p>
    <w:tbl>
      <w:tblPr>
        <w:tblStyle w:val="2"/>
        <w:tblW w:w="5220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080"/>
        <w:gridCol w:w="1080"/>
        <w:gridCol w:w="108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黑体_GBK"/>
                <w:sz w:val="18"/>
              </w:rPr>
              <w:t>时期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黑体_GBK"/>
                <w:sz w:val="18"/>
              </w:rPr>
              <w:t>功臣子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黑体_GBK"/>
                <w:sz w:val="18"/>
              </w:rPr>
              <w:t>外戚宗室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黑体_GBK"/>
                <w:sz w:val="18"/>
              </w:rPr>
              <w:t>各级属吏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黑体_GBK"/>
                <w:sz w:val="18"/>
              </w:rPr>
              <w:t>经学之士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汉武帝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5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3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1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汉宣帝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4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汉成帝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1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1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3</w:t>
            </w:r>
          </w:p>
        </w:tc>
      </w:tr>
    </w:tbl>
    <w:p>
      <w:pPr>
        <w:spacing w:line="310" w:lineRule="exact"/>
        <w:jc w:val="center"/>
      </w:pPr>
    </w:p>
    <w:p>
      <w:pPr>
        <w:spacing w:line="340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重视人才从政经历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注重门荫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维护统治</w:t>
      </w:r>
    </w:p>
    <w:p>
      <w:pPr>
        <w:spacing w:line="340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采用儒家思想治国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利用宗法关系理政</w:t>
      </w:r>
    </w:p>
    <w:p>
      <w:pPr>
        <w:spacing w:line="370" w:lineRule="exact"/>
      </w:pPr>
      <w:r>
        <w:rPr>
          <w:rFonts w:hint="eastAsia" w:eastAsia="方正黑体_GBK"/>
          <w:sz w:val="18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3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王守仁认为士大夫凭借修养治理天下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农民凭借农具来养家糊口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工匠和商人则“以其尽心于利器通货者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而修治具养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犹其工与商也。故曰</w:t>
      </w:r>
      <w:r>
        <w:rPr>
          <w:rFonts w:ascii="方正书宋_GBK" w:hAnsi="方正书宋_GBK"/>
        </w:rPr>
        <w:t>:</w:t>
      </w:r>
      <w:r>
        <w:rPr>
          <w:rFonts w:hint="default" w:eastAsia="方正书宋_GBK"/>
        </w:rPr>
        <w:t>四民异业而同道”。他的观点</w:t>
      </w:r>
    </w:p>
    <w:p>
      <w:pPr>
        <w:spacing w:line="340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说明重农抑商政策发生变化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为明清思想家所继承</w:t>
      </w:r>
    </w:p>
    <w:p>
      <w:pPr>
        <w:spacing w:line="340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彻底打破了传统思想的束缚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受商品经济发展影响</w:t>
      </w:r>
    </w:p>
    <w:p>
      <w:pPr>
        <w:spacing w:line="370" w:lineRule="exact"/>
      </w:pPr>
      <w:r>
        <w:rPr>
          <w:rFonts w:hint="eastAsia" w:eastAsia="方正黑体_GBK"/>
          <w:sz w:val="18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4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吴慧在《中国历代粮食亩产研究》中写道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汉代粮食亩产已达到一定水平。明朝和清朝前期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随着稻田复种指数的增加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玉米、甘薯种植的推广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亩产又有一定的提高。但从汉代到清中叶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粮食亩产只增长了</w:t>
      </w:r>
      <w:r>
        <w:rPr>
          <w:rFonts w:ascii="NEU-BZ-S92" w:hAnsi="NEU-BZ-S92"/>
        </w:rPr>
        <w:t>39%</w:t>
      </w:r>
      <w:r>
        <w:rPr>
          <w:rFonts w:hint="default" w:eastAsia="方正书宋_GBK"/>
        </w:rPr>
        <w:t>。明清时期粮食亩产增长缓慢的主要原因是</w:t>
      </w:r>
    </w:p>
    <w:p>
      <w:pPr>
        <w:spacing w:line="340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 xml:space="preserve">封建生产方式的制约 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君主专制统治不断强化</w:t>
      </w:r>
    </w:p>
    <w:p>
      <w:pPr>
        <w:spacing w:line="340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 xml:space="preserve">高产作物传入 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农业生产技术长期停滞</w:t>
      </w:r>
    </w:p>
    <w:p>
      <w:pPr>
        <w:spacing w:line="370" w:lineRule="exact"/>
      </w:pPr>
      <w:r>
        <w:rPr>
          <w:rFonts w:hint="eastAsia" w:eastAsia="方正黑体_GBK"/>
          <w:sz w:val="18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5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下表中中国关税税率出现变动的主要原因应是</w:t>
      </w:r>
    </w:p>
    <w:tbl>
      <w:tblPr>
        <w:tblStyle w:val="2"/>
        <w:tblW w:w="8460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2160"/>
        <w:gridCol w:w="1800"/>
        <w:gridCol w:w="27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</w:tblPrEx>
        <w:trPr>
          <w:jc w:val="center"/>
        </w:trPr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黑体_GBK"/>
                <w:sz w:val="18"/>
              </w:rPr>
              <w:t>货物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黑体_GBK"/>
                <w:sz w:val="18"/>
              </w:rPr>
              <w:t>单位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1843</w:t>
            </w:r>
            <w:r>
              <w:rPr>
                <w:rFonts w:hint="default" w:eastAsia="方正黑体_GBK"/>
                <w:sz w:val="18"/>
              </w:rPr>
              <w:t>年前的旧税率</w:t>
            </w:r>
            <w:r>
              <w:rPr>
                <w:rFonts w:ascii="方正黑体_GBK" w:hAnsi="方正黑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%</w:t>
            </w:r>
            <w:r>
              <w:rPr>
                <w:rFonts w:ascii="方正黑体_GBK" w:hAnsi="方正黑体_GBK"/>
                <w:sz w:val="18"/>
              </w:rPr>
              <w:t>)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1843</w:t>
            </w:r>
            <w:r>
              <w:rPr>
                <w:rFonts w:hint="default" w:eastAsia="方正黑体_GBK"/>
                <w:sz w:val="18"/>
              </w:rPr>
              <w:t>年的新税率</w:t>
            </w:r>
            <w:r>
              <w:rPr>
                <w:rFonts w:ascii="方正黑体_GBK" w:hAnsi="方正黑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%</w:t>
            </w:r>
            <w:r>
              <w:rPr>
                <w:rFonts w:ascii="方正黑体_GBK" w:hAnsi="方正黑体_GBK"/>
                <w:sz w:val="18"/>
              </w:rPr>
              <w:t>)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黑体_GBK"/>
                <w:sz w:val="18"/>
              </w:rPr>
              <w:t>新税率较旧税率减少比例</w:t>
            </w:r>
            <w:r>
              <w:rPr>
                <w:rFonts w:ascii="方正黑体_GBK" w:hAnsi="方正黑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%</w:t>
            </w:r>
            <w:r>
              <w:rPr>
                <w:rFonts w:ascii="方正黑体_GBK" w:hAnsi="方正黑体_GBK"/>
                <w:sz w:val="18"/>
              </w:rPr>
              <w:t>)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棉花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担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24.19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5.56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77.02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棉纱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担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13.38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5.56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58.45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头等白洋布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匹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93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6.95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92.53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二等白洋布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匹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53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6.95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86.89</w:t>
            </w:r>
          </w:p>
        </w:tc>
      </w:tr>
    </w:tbl>
    <w:p>
      <w:pPr>
        <w:spacing w:line="310" w:lineRule="exact"/>
        <w:jc w:val="center"/>
      </w:pPr>
    </w:p>
    <w:p>
      <w:pPr>
        <w:spacing w:line="340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通商口岸的开放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中国经济结构的变化</w:t>
      </w:r>
    </w:p>
    <w:p>
      <w:pPr>
        <w:spacing w:line="340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协定关税的施行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中国商品输出的泛滥</w:t>
      </w:r>
    </w:p>
    <w:p>
      <w:pPr>
        <w:spacing w:line="370" w:lineRule="exact"/>
      </w:pPr>
      <w:r>
        <w:rPr>
          <w:rFonts w:hint="eastAsia" w:eastAsia="方正黑体_GBK"/>
          <w:sz w:val="18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6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鲁迅于</w:t>
      </w:r>
      <w:r>
        <w:rPr>
          <w:rFonts w:ascii="NEU-BZ-S92" w:hAnsi="NEU-BZ-S92"/>
        </w:rPr>
        <w:t>20</w:t>
      </w:r>
      <w:r>
        <w:rPr>
          <w:rFonts w:hint="default" w:eastAsia="方正书宋_GBK"/>
        </w:rPr>
        <w:t>世纪初提出了改造国民性和“立人”两个相关的命题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认为中国“国民性”中存在的某些严重缺陷和弱点是几千年的封建思想所造成的。为此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他</w:t>
      </w:r>
    </w:p>
    <w:p>
      <w:pPr>
        <w:spacing w:line="340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著文立说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批判传统道德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倡导民主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反对封建专制</w:t>
      </w:r>
    </w:p>
    <w:p>
      <w:pPr>
        <w:spacing w:line="340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弘扬科学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摒弃愚昧迷信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唤醒民众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举起抗日大旗</w:t>
      </w:r>
    </w:p>
    <w:p>
      <w:pPr>
        <w:spacing w:line="370" w:lineRule="exact"/>
      </w:pPr>
      <w:r>
        <w:rPr>
          <w:rFonts w:hint="eastAsia" w:eastAsia="方正黑体_GBK"/>
          <w:sz w:val="18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7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全面抗战爆发以后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虽然国民党第一、二、五战区等都部署了大股部队留驻敌后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开展游击战争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但多以失败而告终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而中国共产党领导的敌后抗日根据地则获得了重大发展。这一现象形成的主要原因是国共两党</w:t>
      </w:r>
    </w:p>
    <w:p>
      <w:pPr>
        <w:spacing w:line="340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军队的武器装备不同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游击战战略地位不同</w:t>
      </w:r>
    </w:p>
    <w:p>
      <w:pPr>
        <w:spacing w:line="340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作战地域的分布不同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抗战指导思想的不同</w:t>
      </w:r>
    </w:p>
    <w:p>
      <w:pPr>
        <w:spacing w:line="365" w:lineRule="exact"/>
      </w:pPr>
      <w:r>
        <w:rPr>
          <w:rFonts w:ascii="NEU-H5-S92" w:hAnsi="NEU-H5-S92"/>
          <w:sz w:val="24"/>
        </w:rPr>
        <w:t>8</w:t>
      </w:r>
      <w:r>
        <w:rPr>
          <w:rFonts w:ascii="NEU-BZ-S92" w:hAnsi="NEU-BZ-S92"/>
          <w:sz w:val="24"/>
        </w:rPr>
        <w:t>.</w:t>
      </w:r>
    </w:p>
    <w:p>
      <w:pPr>
        <w:spacing w:line="335" w:lineRule="atLeast"/>
        <w:ind w:firstLineChars="200"/>
        <w:jc w:val="center"/>
      </w:pPr>
      <w:r>
        <w:drawing>
          <wp:inline distT="0" distB="0" distL="0" distR="0">
            <wp:extent cx="2861310" cy="1297305"/>
            <wp:effectExtent l="0" t="0" r="15240" b="17145"/>
            <wp:docPr id="53" name="20JXTDZLSTZDY21-10T1.eps" descr="id:21474877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20JXTDZLSTZDY21-10T1.eps" descr="id:2147487724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1640" cy="12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5" w:lineRule="exact"/>
        <w:ind w:firstLineChars="200"/>
      </w:pPr>
      <w:r>
        <w:rPr>
          <w:rFonts w:hint="default" w:eastAsia="方正书宋_GBK"/>
        </w:rPr>
        <w:t>右图是我国</w:t>
      </w:r>
      <w:r>
        <w:rPr>
          <w:rFonts w:ascii="NEU-BZ-S92" w:hAnsi="NEU-BZ-S92"/>
        </w:rPr>
        <w:t>1952~2002</w:t>
      </w:r>
      <w:r>
        <w:rPr>
          <w:rFonts w:hint="default" w:eastAsia="方正书宋_GBK"/>
        </w:rPr>
        <w:t>年人均国民总收入变化图</w:t>
      </w:r>
      <w:r>
        <w:rPr>
          <w:rFonts w:ascii="方正书宋_GBK" w:hAnsi="方正书宋_GBK"/>
        </w:rPr>
        <w:t>(</w:t>
      </w:r>
      <w:r>
        <w:rPr>
          <w:rFonts w:hint="default" w:eastAsia="方正书宋_GBK"/>
        </w:rPr>
        <w:t>部分</w:t>
      </w:r>
      <w:r>
        <w:rPr>
          <w:rFonts w:ascii="方正书宋_GBK" w:hAnsi="方正书宋_GBK"/>
        </w:rPr>
        <w:t>)</w:t>
      </w:r>
      <w:r>
        <w:rPr>
          <w:rFonts w:hint="default" w:eastAsia="方正书宋_GBK"/>
        </w:rPr>
        <w:t>。其中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人均国民总收入出现快速增长的主要原因是</w:t>
      </w:r>
    </w:p>
    <w:p>
      <w:pPr>
        <w:spacing w:line="335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社会主义经济体系的建立</w:t>
      </w:r>
      <w:r>
        <w:rPr>
          <w:rFonts w:hint="default" w:eastAsia="方正书宋_GBK"/>
        </w:rPr>
        <w:tab/>
      </w:r>
    </w:p>
    <w:p>
      <w:pPr>
        <w:spacing w:line="335" w:lineRule="exact"/>
      </w:pPr>
      <w:r>
        <w:rPr>
          <w:rFonts w:ascii="NEU-BZ-S92" w:hAnsi="NEU-BZ-S92"/>
        </w:rPr>
        <w:t>B.</w:t>
      </w:r>
      <w:r>
        <w:rPr>
          <w:rFonts w:hint="default" w:eastAsia="方正书宋_GBK"/>
        </w:rPr>
        <w:t>实行家庭联产承包责任制</w:t>
      </w:r>
    </w:p>
    <w:p>
      <w:pPr>
        <w:spacing w:line="335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高考制度的恢复</w:t>
      </w:r>
      <w:r>
        <w:rPr>
          <w:rFonts w:hint="default" w:eastAsia="方正书宋_GBK"/>
        </w:rPr>
        <w:tab/>
      </w:r>
    </w:p>
    <w:p>
      <w:pPr>
        <w:spacing w:line="335" w:lineRule="exact"/>
      </w:pPr>
      <w:r>
        <w:rPr>
          <w:rFonts w:ascii="NEU-BZ-S92" w:hAnsi="NEU-BZ-S92"/>
        </w:rPr>
        <w:t>D.</w:t>
      </w:r>
      <w:r>
        <w:rPr>
          <w:rFonts w:hint="default" w:eastAsia="方正书宋_GBK"/>
        </w:rPr>
        <w:t>社会主义市场经济体制逐步建立</w:t>
      </w:r>
    </w:p>
    <w:p>
      <w:pPr>
        <w:spacing w:line="365" w:lineRule="exact"/>
      </w:pPr>
      <w:r>
        <w:rPr>
          <w:rFonts w:hint="eastAsia" w:eastAsia="方正黑体_GBK"/>
          <w:sz w:val="18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9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 xml:space="preserve"> 古罗马有“和解协议相当于已决案”一说。比如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当事人订立“不索债简约”后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若债权人反悔并要求债务人给付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只要债权人具备相关免债能力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债务人可以拒绝。这表明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罗马法中的“和解”</w:t>
      </w:r>
    </w:p>
    <w:p>
      <w:pPr>
        <w:spacing w:line="335" w:lineRule="exact"/>
      </w:pPr>
      <w:r>
        <w:rPr>
          <w:rFonts w:hint="default" w:eastAsia="方正书宋_GBK"/>
        </w:rPr>
        <w:t xml:space="preserve"> </w:t>
      </w:r>
      <w:r>
        <w:rPr>
          <w:rFonts w:ascii="NEU-BZ-S92" w:hAnsi="NEU-BZ-S92"/>
        </w:rPr>
        <w:t>A.</w:t>
      </w:r>
      <w:r>
        <w:rPr>
          <w:rFonts w:hint="default" w:eastAsia="方正书宋_GBK"/>
        </w:rPr>
        <w:t xml:space="preserve">简化了司法程序 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与诉讼具有同等强制性</w:t>
      </w:r>
    </w:p>
    <w:p>
      <w:pPr>
        <w:spacing w:line="335" w:lineRule="exact"/>
      </w:pPr>
      <w:r>
        <w:rPr>
          <w:rFonts w:hint="default" w:eastAsia="方正书宋_GBK"/>
        </w:rPr>
        <w:t xml:space="preserve"> </w:t>
      </w:r>
      <w:r>
        <w:rPr>
          <w:rFonts w:ascii="NEU-BZ-S92" w:hAnsi="NEU-BZ-S92"/>
        </w:rPr>
        <w:t>C.</w:t>
      </w:r>
      <w:r>
        <w:rPr>
          <w:rFonts w:hint="default" w:eastAsia="方正书宋_GBK"/>
        </w:rPr>
        <w:t xml:space="preserve">彰显了契约精神 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更能保障公民经济权益</w:t>
      </w:r>
    </w:p>
    <w:p>
      <w:pPr>
        <w:spacing w:line="365" w:lineRule="exact"/>
      </w:pPr>
      <w:r>
        <w:rPr>
          <w:rFonts w:hint="eastAsia" w:eastAsia="方正黑体_GBK"/>
          <w:sz w:val="18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10</w:t>
      </w:r>
      <w:r>
        <w:rPr>
          <w:rFonts w:ascii="NEU-BZ-S92" w:hAnsi="NEU-BZ-S92"/>
          <w:sz w:val="24"/>
        </w:rPr>
        <w:t>.</w:t>
      </w:r>
      <w:r>
        <w:rPr>
          <w:rFonts w:ascii="NEU-BZ-S92" w:hAnsi="NEU-BZ-S92"/>
        </w:rPr>
        <w:t>16</w:t>
      </w:r>
      <w:r>
        <w:rPr>
          <w:rFonts w:hint="default" w:eastAsia="方正书宋_GBK"/>
        </w:rPr>
        <w:t>世纪中期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英国谷物价格上涨了</w:t>
      </w:r>
      <w:r>
        <w:rPr>
          <w:rFonts w:ascii="NEU-BZ-S92" w:hAnsi="NEU-BZ-S92"/>
        </w:rPr>
        <w:t>8</w:t>
      </w:r>
      <w:r>
        <w:rPr>
          <w:rFonts w:hint="default" w:eastAsia="方正书宋_GBK"/>
        </w:rPr>
        <w:t>倍。</w:t>
      </w:r>
      <w:r>
        <w:rPr>
          <w:rFonts w:ascii="NEU-BZ-S92" w:hAnsi="NEU-BZ-S92"/>
        </w:rPr>
        <w:t>1495</w:t>
      </w:r>
      <w:r>
        <w:rPr>
          <w:rFonts w:hint="default" w:eastAsia="方正书宋_GBK"/>
        </w:rPr>
        <w:t>年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一个农业工人以</w:t>
      </w:r>
      <w:r>
        <w:rPr>
          <w:rFonts w:ascii="NEU-BZ-S92" w:hAnsi="NEU-BZ-S92"/>
        </w:rPr>
        <w:t>15</w:t>
      </w:r>
      <w:r>
        <w:rPr>
          <w:rFonts w:hint="default" w:eastAsia="方正书宋_GBK"/>
        </w:rPr>
        <w:t>周的劳动就能挣得全家一年的口粮</w:t>
      </w:r>
      <w:r>
        <w:rPr>
          <w:rFonts w:ascii="方正书宋_GBK" w:hAnsi="方正书宋_GBK"/>
        </w:rPr>
        <w:t>,</w:t>
      </w:r>
      <w:r>
        <w:rPr>
          <w:rFonts w:ascii="NEU-BZ-S92" w:hAnsi="NEU-BZ-S92"/>
        </w:rPr>
        <w:t>1564</w:t>
      </w:r>
      <w:r>
        <w:rPr>
          <w:rFonts w:hint="default" w:eastAsia="方正书宋_GBK"/>
        </w:rPr>
        <w:t>年则要花</w:t>
      </w:r>
      <w:r>
        <w:rPr>
          <w:rFonts w:ascii="NEU-BZ-S92" w:hAnsi="NEU-BZ-S92"/>
        </w:rPr>
        <w:t>40</w:t>
      </w:r>
      <w:r>
        <w:rPr>
          <w:rFonts w:hint="default" w:eastAsia="方正书宋_GBK"/>
        </w:rPr>
        <w:t>周的劳动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而到</w:t>
      </w:r>
      <w:r>
        <w:rPr>
          <w:rFonts w:ascii="NEU-BZ-S92" w:hAnsi="NEU-BZ-S92"/>
        </w:rPr>
        <w:t>1593</w:t>
      </w:r>
      <w:r>
        <w:rPr>
          <w:rFonts w:hint="default" w:eastAsia="方正书宋_GBK"/>
        </w:rPr>
        <w:t>年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一个农业工人甚至成年累月地劳动也不能保证挣得全家一年的口粮。造成这一现象的主要原因是</w:t>
      </w:r>
    </w:p>
    <w:p>
      <w:pPr>
        <w:spacing w:line="335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生产萎缩使农产品供应出现不足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圈地运动挫伤农民生产积极性</w:t>
      </w:r>
    </w:p>
    <w:p>
      <w:pPr>
        <w:spacing w:line="335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土地贵族对农业工人残酷压榨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殖民掠夺加剧了货币的贬值</w:t>
      </w:r>
    </w:p>
    <w:p>
      <w:pPr>
        <w:spacing w:line="365" w:lineRule="exact"/>
      </w:pPr>
      <w:r>
        <w:rPr>
          <w:rFonts w:hint="eastAsia" w:eastAsia="方正黑体_GBK"/>
          <w:sz w:val="18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11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近代英国通过改革制度政治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降低选民的财产和身份要求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工业资产阶级和农村中的富裕农民获得了选举权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英国的选民人数从</w:t>
      </w:r>
      <w:r>
        <w:rPr>
          <w:rFonts w:ascii="NEU-BZ-S92" w:hAnsi="NEU-BZ-S92"/>
        </w:rPr>
        <w:t>48.8</w:t>
      </w:r>
      <w:r>
        <w:rPr>
          <w:rFonts w:hint="default" w:eastAsia="方正书宋_GBK"/>
        </w:rPr>
        <w:t>万增加到</w:t>
      </w:r>
      <w:r>
        <w:rPr>
          <w:rFonts w:ascii="NEU-BZ-S92" w:hAnsi="NEU-BZ-S92"/>
        </w:rPr>
        <w:t>80.8</w:t>
      </w:r>
      <w:r>
        <w:rPr>
          <w:rFonts w:hint="default" w:eastAsia="方正书宋_GBK"/>
        </w:rPr>
        <w:t>万。这次改革</w:t>
      </w:r>
    </w:p>
    <w:p>
      <w:pPr>
        <w:spacing w:line="335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确立了君主立宪制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逐渐形成责任内阁制</w:t>
      </w:r>
    </w:p>
    <w:p>
      <w:pPr>
        <w:spacing w:line="335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根源于工业革命的兴起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使工人群众获得选举权和被选举权</w:t>
      </w:r>
    </w:p>
    <w:p>
      <w:pPr>
        <w:spacing w:line="365" w:lineRule="exact"/>
      </w:pPr>
      <w:r>
        <w:rPr>
          <w:rFonts w:hint="eastAsia" w:eastAsia="方正黑体_GBK"/>
          <w:sz w:val="18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12</w:t>
      </w:r>
      <w:r>
        <w:rPr>
          <w:rFonts w:ascii="NEU-BZ-S92" w:hAnsi="NEU-BZ-S92"/>
          <w:sz w:val="24"/>
        </w:rPr>
        <w:t>.</w:t>
      </w:r>
      <w:r>
        <w:rPr>
          <w:rFonts w:ascii="NEU-BZ-S92" w:hAnsi="NEU-BZ-S92"/>
        </w:rPr>
        <w:t>20</w:t>
      </w:r>
      <w:r>
        <w:rPr>
          <w:rFonts w:hint="default" w:eastAsia="方正书宋_GBK"/>
        </w:rPr>
        <w:t>世纪</w:t>
      </w:r>
      <w:r>
        <w:rPr>
          <w:rFonts w:ascii="NEU-BZ-S92" w:hAnsi="NEU-BZ-S92"/>
        </w:rPr>
        <w:t>70</w:t>
      </w:r>
      <w:r>
        <w:rPr>
          <w:rFonts w:hint="default" w:eastAsia="方正书宋_GBK"/>
        </w:rPr>
        <w:t>年代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美国外交战略经历了从杜鲁门主义到尼克松主义的转变。在尼克松主义看来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缓和并非结束冷战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缓和仅仅是一种手段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是一种方法。由此看来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美国外交战略的调整主要是因为当时</w:t>
      </w:r>
    </w:p>
    <w:p>
      <w:pPr>
        <w:spacing w:line="335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美国霸主地位不复存在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世界多极化趋势得到加强</w:t>
      </w:r>
    </w:p>
    <w:p>
      <w:pPr>
        <w:spacing w:line="335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资本主义阵营出现分化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苏联军事实力的不断提升</w:t>
      </w:r>
    </w:p>
    <w:p>
      <w:pPr>
        <w:rPr>
          <w:rFonts w:hint="eastAsia" w:eastAsia="方正书宋_GBK"/>
          <w:lang w:eastAsia="zh-CN"/>
        </w:rPr>
      </w:pPr>
      <w:r>
        <w:rPr>
          <w:rFonts w:hint="eastAsia" w:eastAsia="方正黑体_GBK"/>
          <w:sz w:val="1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准圆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H5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633B4"/>
    <w:rsid w:val="537633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-S92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0" w:lineRule="exact"/>
      <w:jc w:val="left"/>
    </w:pPr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2020-02-06T06:43:00Z</dcterms:created>
  <dc:creator>Administrator</dc:creator>
  <cp:lastModifiedBy>Administrator</cp:lastModifiedBy>
  <dcterms:modified xsi:type="dcterms:W3CDTF">2020-02-06T06:50:06Z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