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2" w:lineRule="atLeast"/>
        <w:jc w:val="center"/>
        <w:rPr>
          <w:rFonts w:hint="default" w:ascii="NEU-BZ-S92" w:hAnsi="NEU-BZ-S92" w:eastAsia="方正准圆_GBK" w:cs="Times New Roman"/>
          <w:color w:val="000000"/>
          <w:kern w:val="0"/>
          <w:sz w:val="42"/>
          <w:szCs w:val="22"/>
          <w:lang w:val="en-US" w:eastAsia="zh-CN"/>
        </w:rPr>
      </w:pPr>
      <w:r>
        <w:rPr>
          <w:rFonts w:hint="eastAsia" w:ascii="NEU-BZ-S92" w:hAnsi="NEU-BZ-S92" w:eastAsia="方正准圆_GBK" w:cs="Times New Roman"/>
          <w:color w:val="000000"/>
          <w:kern w:val="0"/>
          <w:sz w:val="42"/>
          <w:szCs w:val="22"/>
          <w:lang w:eastAsia="zh-CN"/>
        </w:rPr>
        <w:t>高三寒假练习第</w:t>
      </w:r>
      <w:r>
        <w:rPr>
          <w:rFonts w:hint="eastAsia" w:ascii="NEU-BZ-S92" w:hAnsi="NEU-BZ-S92" w:eastAsia="方正准圆_GBK" w:cs="Times New Roman"/>
          <w:color w:val="000000"/>
          <w:kern w:val="0"/>
          <w:sz w:val="42"/>
          <w:szCs w:val="22"/>
          <w:lang w:val="en-US" w:eastAsia="zh-CN"/>
        </w:rPr>
        <w:t>6练</w:t>
      </w:r>
    </w:p>
    <w:p>
      <w:pPr>
        <w:widowControl/>
        <w:numPr>
          <w:ilvl w:val="0"/>
          <w:numId w:val="1"/>
        </w:numPr>
        <w:spacing w:line="522" w:lineRule="atLeast"/>
        <w:jc w:val="center"/>
        <w:rPr>
          <w:rFonts w:hint="default" w:ascii="NEU-BZ-S92" w:hAnsi="NEU-BZ-S92" w:eastAsia="方正准圆_GBK" w:cs="Times New Roman"/>
          <w:color w:val="000000"/>
          <w:kern w:val="0"/>
          <w:sz w:val="42"/>
          <w:szCs w:val="22"/>
        </w:rPr>
      </w:pPr>
      <w:r>
        <w:rPr>
          <w:rFonts w:hint="default" w:ascii="NEU-BZ-S92" w:hAnsi="NEU-BZ-S92" w:eastAsia="方正准圆_GBK" w:cs="Times New Roman"/>
          <w:color w:val="000000"/>
          <w:kern w:val="0"/>
          <w:sz w:val="42"/>
          <w:szCs w:val="22"/>
        </w:rPr>
        <w:t>比较型选择题</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1</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春秋战国时期</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思想家们突破了西周“以天为宗”的观念</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无论是孔子的“复礼”还是韩非子的“法治”</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都把视线从天上转到了人世。这反映出当时</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各类思想彼此碰撞与交融</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神学迷信观念已经被基本扫除</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完成了新的社会秩序的建构</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政治意识由重天命转向重人事</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2</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战国时商鞅主张重农抑商</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西汉时桑弘羊认为农商并重、本末俱利</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宋代以后反对重农抑商的思想家明显增加</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明清之际黄宗羲提出了工商皆本思想。这些古代商业思想</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是中国古代工商业发展的反映</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都站在反对国家干预经济的立场</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反映了政府对抑商政策的放宽</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是古代经济发展迟滞的主要原因</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3</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明代江苏东台人王艮创立的泰州学派常借《中庸》“率性之谓道”一句话中的“率性”二字论道</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推出自然情欲论。《明儒学案》中徐樾谓</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“圣贤教来学</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率性而已。”颜钧云</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“率性所行</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纯任自然</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便谓之道。”这些思想都</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追求个性与人格独立</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体现了资产阶级的要求</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受到读书人普遍赞誉</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基本否定了程朱理学</w:t>
      </w:r>
    </w:p>
    <w:p>
      <w:pPr>
        <w:widowControl/>
        <w:spacing w:line="282" w:lineRule="exact"/>
        <w:ind w:firstLineChars="200"/>
        <w:jc w:val="left"/>
        <w:rPr>
          <w:rFonts w:hint="eastAsia" w:ascii="NEU-BZ-S92" w:hAnsi="NEU-BZ-S92" w:eastAsia="方正黑体_GBK" w:cs="Times New Roman"/>
          <w:color w:val="000000"/>
          <w:kern w:val="0"/>
          <w:szCs w:val="22"/>
          <w:lang w:val="en-US" w:eastAsia="zh-CN"/>
        </w:rPr>
      </w:pPr>
      <w:r>
        <w:rPr>
          <w:rFonts w:hint="default" w:ascii="NEU-BZ-S92" w:hAnsi="NEU-BZ-S92" w:eastAsia="方正黑体_GBK" w:cs="Times New Roman"/>
          <w:color w:val="000000"/>
          <w:kern w:val="0"/>
          <w:sz w:val="18"/>
          <w:szCs w:val="22"/>
        </w:rPr>
        <w:t>【</w:t>
      </w:r>
      <w:r>
        <w:rPr>
          <w:rFonts w:hint="eastAsia" w:ascii="NEU-BZ-S92" w:hAnsi="NEU-BZ-S92" w:eastAsia="方正黑体_GBK" w:cs="Times New Roman"/>
          <w:color w:val="000000"/>
          <w:kern w:val="0"/>
          <w:sz w:val="18"/>
          <w:szCs w:val="22"/>
          <w:lang w:val="en-US" w:eastAsia="zh-CN"/>
        </w:rPr>
        <w:t xml:space="preserve"> </w:t>
      </w:r>
    </w:p>
    <w:p>
      <w:pPr>
        <w:widowControl/>
        <w:spacing w:line="342" w:lineRule="exact"/>
        <w:jc w:val="left"/>
        <w:rPr>
          <w:rFonts w:ascii="NEU-BZ-S92" w:hAnsi="NEU-BZ-S92" w:eastAsia="方正书宋_GBK" w:cs="Times New Roman"/>
          <w:color w:val="000000"/>
          <w:kern w:val="0"/>
          <w:szCs w:val="22"/>
        </w:rPr>
      </w:pPr>
      <w:r>
        <w:rPr>
          <w:rFonts w:ascii="NEU-H5-S92" w:hAnsi="NEU-H5-S92" w:eastAsia="方正书宋_GBK" w:cs="Times New Roman"/>
          <w:color w:val="000000"/>
          <w:kern w:val="0"/>
          <w:sz w:val="24"/>
          <w:szCs w:val="22"/>
        </w:rPr>
        <w:t>4</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据图</w:t>
      </w:r>
      <w:r>
        <w:rPr>
          <w:rFonts w:ascii="NEU-BZ-S92" w:hAnsi="NEU-BZ-S92" w:eastAsia="方正书宋_GBK" w:cs="Times New Roman"/>
          <w:color w:val="000000"/>
          <w:kern w:val="0"/>
          <w:szCs w:val="22"/>
        </w:rPr>
        <w:t>1</w:t>
      </w:r>
      <w:r>
        <w:rPr>
          <w:rFonts w:hint="default" w:ascii="NEU-BZ-S92" w:hAnsi="NEU-BZ-S92" w:eastAsia="方正书宋_GBK" w:cs="Times New Roman"/>
          <w:color w:val="000000"/>
          <w:kern w:val="0"/>
          <w:szCs w:val="22"/>
        </w:rPr>
        <w:t>和图</w:t>
      </w:r>
      <w:r>
        <w:rPr>
          <w:rFonts w:ascii="NEU-BZ-S92" w:hAnsi="NEU-BZ-S92" w:eastAsia="方正书宋_GBK" w:cs="Times New Roman"/>
          <w:color w:val="000000"/>
          <w:kern w:val="0"/>
          <w:szCs w:val="22"/>
        </w:rPr>
        <w:t>2</w:t>
      </w:r>
      <w:r>
        <w:rPr>
          <w:rFonts w:hint="default" w:ascii="NEU-BZ-S92" w:hAnsi="NEU-BZ-S92" w:eastAsia="方正书宋_GBK" w:cs="Times New Roman"/>
          <w:color w:val="000000"/>
          <w:kern w:val="0"/>
          <w:szCs w:val="22"/>
        </w:rPr>
        <w:t>分析</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清政府这一调整的主要目的是</w:t>
      </w:r>
    </w:p>
    <w:p>
      <w:pPr>
        <w:widowControl/>
        <w:spacing w:line="312" w:lineRule="atLeast"/>
        <w:jc w:val="center"/>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drawing>
          <wp:inline distT="0" distB="0" distL="0" distR="0">
            <wp:extent cx="3599180" cy="2011045"/>
            <wp:effectExtent l="0" t="0" r="1270" b="8255"/>
            <wp:docPr id="55" name="20JXTDZLSTZDY21-10T2.eps" descr="id:21474877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20JXTDZLSTZDY21-10T2.eps" descr="id:2147487738;FounderCES"/>
                    <pic:cNvPicPr>
                      <a:picLocks noChangeAspect="1"/>
                    </pic:cNvPicPr>
                  </pic:nvPicPr>
                  <pic:blipFill>
                    <a:blip r:embed="rId4"/>
                    <a:stretch>
                      <a:fillRect/>
                    </a:stretch>
                  </pic:blipFill>
                  <pic:spPr>
                    <a:xfrm>
                      <a:off x="0" y="0"/>
                      <a:ext cx="3599640" cy="2011320"/>
                    </a:xfrm>
                    <a:prstGeom prst="rect">
                      <a:avLst/>
                    </a:prstGeom>
                  </pic:spPr>
                </pic:pic>
              </a:graphicData>
            </a:graphic>
          </wp:inline>
        </w:drawing>
      </w:r>
    </w:p>
    <w:p>
      <w:pPr>
        <w:widowControl/>
        <w:spacing w:line="26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 w:val="16"/>
          <w:szCs w:val="22"/>
        </w:rPr>
        <w:t>　　　　　　　　　　　　　</w:t>
      </w:r>
      <w:r>
        <w:rPr>
          <w:rFonts w:hint="default" w:ascii="NEU-BZ-S92" w:hAnsi="NEU-BZ-S92" w:eastAsia="方正书宋_GBK" w:cs="Times New Roman"/>
          <w:color w:val="000000"/>
          <w:kern w:val="0"/>
          <w:sz w:val="16"/>
          <w:szCs w:val="22"/>
        </w:rPr>
        <w:t>图</w:t>
      </w:r>
      <w:r>
        <w:rPr>
          <w:rFonts w:ascii="NEU-BZ-S92" w:hAnsi="NEU-BZ-S92" w:eastAsia="方正书宋_GBK" w:cs="Times New Roman"/>
          <w:color w:val="000000"/>
          <w:kern w:val="0"/>
          <w:sz w:val="16"/>
          <w:szCs w:val="22"/>
        </w:rPr>
        <w:t>1　</w:t>
      </w:r>
      <w:r>
        <w:rPr>
          <w:rFonts w:hint="default" w:ascii="NEU-BZ-S92" w:hAnsi="NEU-BZ-S92" w:eastAsia="方正书宋_GBK" w:cs="Times New Roman"/>
          <w:color w:val="000000"/>
          <w:kern w:val="0"/>
          <w:sz w:val="16"/>
          <w:szCs w:val="22"/>
        </w:rPr>
        <w:t>康熙四年江南省政区图</w:t>
      </w:r>
      <w:r>
        <w:rPr>
          <w:rFonts w:ascii="NEU-BZ-S92" w:hAnsi="NEU-BZ-S92" w:eastAsia="方正书宋_GBK" w:cs="Times New Roman"/>
          <w:color w:val="000000"/>
          <w:kern w:val="0"/>
          <w:sz w:val="16"/>
          <w:szCs w:val="22"/>
        </w:rPr>
        <w:t>　　　</w:t>
      </w:r>
      <w:r>
        <w:rPr>
          <w:rFonts w:hint="default" w:ascii="NEU-BZ-S92" w:hAnsi="NEU-BZ-S92" w:eastAsia="方正书宋_GBK" w:cs="Times New Roman"/>
          <w:color w:val="000000"/>
          <w:kern w:val="0"/>
          <w:sz w:val="16"/>
          <w:szCs w:val="22"/>
        </w:rPr>
        <w:t>图</w:t>
      </w:r>
      <w:r>
        <w:rPr>
          <w:rFonts w:ascii="NEU-BZ-S92" w:hAnsi="NEU-BZ-S92" w:eastAsia="方正书宋_GBK" w:cs="Times New Roman"/>
          <w:color w:val="000000"/>
          <w:kern w:val="0"/>
          <w:sz w:val="16"/>
          <w:szCs w:val="22"/>
        </w:rPr>
        <w:t>2　</w:t>
      </w:r>
      <w:r>
        <w:rPr>
          <w:rFonts w:hint="default" w:ascii="NEU-BZ-S92" w:hAnsi="NEU-BZ-S92" w:eastAsia="方正书宋_GBK" w:cs="Times New Roman"/>
          <w:color w:val="000000"/>
          <w:kern w:val="0"/>
          <w:sz w:val="16"/>
          <w:szCs w:val="22"/>
        </w:rPr>
        <w:t>乾隆二十六年江苏省、安徽省政区图</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统治辽阔的疆域</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限制省级官员的职权</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缓解基层官员的冗滥</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防止地方势力膨胀</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5</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有学者认为</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在中国现代思想史上实际上存在着两种启蒙思想</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彼此有一些交集但旨归大为不同。如果说新文化运动以来的文化保守主义者继承的是戊戌变法之后梁启超等人开创的保守主义的启蒙事业的话</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那么</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胡适、陈独秀等新文化运动的干将们掀起的则是另一种激进主义的启蒙事业。这两种启蒙事业都在</w:t>
      </w:r>
    </w:p>
    <w:p>
      <w:pPr>
        <w:widowControl/>
        <w:spacing w:line="312" w:lineRule="exact"/>
        <w:jc w:val="center"/>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倡导立宪</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改良文学</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打倒孔教</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开启民智</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6</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1954</w:t>
      </w:r>
      <w:r>
        <w:rPr>
          <w:rFonts w:hint="default" w:ascii="NEU-BZ-S92" w:hAnsi="NEU-BZ-S92" w:eastAsia="方正书宋_GBK" w:cs="Times New Roman"/>
          <w:color w:val="000000"/>
          <w:kern w:val="0"/>
          <w:szCs w:val="22"/>
        </w:rPr>
        <w:t>年第一届全国人大正式颁布的《中华人民共和国宪法》体现了人民民主和社会主义的原则</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1982</w:t>
      </w:r>
      <w:r>
        <w:rPr>
          <w:rFonts w:hint="default" w:ascii="NEU-BZ-S92" w:hAnsi="NEU-BZ-S92" w:eastAsia="方正书宋_GBK" w:cs="Times New Roman"/>
          <w:color w:val="000000"/>
          <w:kern w:val="0"/>
          <w:szCs w:val="22"/>
        </w:rPr>
        <w:t>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全国人大通过了修订的《中华人民共和国宪法》</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逐步形成以宪法为核心的中国特色的社会主义法律体系。这两部宪法的颁布或修订</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反映了社会主要矛盾的变化</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改变了国家的基本法律架构</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适应了当时经济建设的需要</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使民主政治建设制度化、法律化</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7</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20</w:t>
      </w:r>
      <w:r>
        <w:rPr>
          <w:rFonts w:hint="default" w:ascii="NEU-BZ-S92" w:hAnsi="NEU-BZ-S92" w:eastAsia="方正书宋_GBK" w:cs="Times New Roman"/>
          <w:color w:val="000000"/>
          <w:kern w:val="0"/>
          <w:szCs w:val="22"/>
        </w:rPr>
        <w:t>世纪</w:t>
      </w:r>
      <w:r>
        <w:rPr>
          <w:rFonts w:ascii="NEU-BZ-S92" w:hAnsi="NEU-BZ-S92" w:eastAsia="方正书宋_GBK" w:cs="Times New Roman"/>
          <w:color w:val="000000"/>
          <w:kern w:val="0"/>
          <w:szCs w:val="22"/>
        </w:rPr>
        <w:t>70</w:t>
      </w:r>
      <w:r>
        <w:rPr>
          <w:rFonts w:hint="default" w:ascii="NEU-BZ-S92" w:hAnsi="NEU-BZ-S92" w:eastAsia="方正书宋_GBK" w:cs="Times New Roman"/>
          <w:color w:val="000000"/>
          <w:kern w:val="0"/>
          <w:szCs w:val="22"/>
        </w:rPr>
        <w:t>年代末期</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个体商贩被称为“二道贩子”。到了</w:t>
      </w:r>
      <w:r>
        <w:rPr>
          <w:rFonts w:ascii="NEU-BZ-S92" w:hAnsi="NEU-BZ-S92" w:eastAsia="方正书宋_GBK" w:cs="Times New Roman"/>
          <w:color w:val="000000"/>
          <w:kern w:val="0"/>
          <w:szCs w:val="22"/>
        </w:rPr>
        <w:t>20</w:t>
      </w:r>
      <w:r>
        <w:rPr>
          <w:rFonts w:hint="default" w:ascii="NEU-BZ-S92" w:hAnsi="NEU-BZ-S92" w:eastAsia="方正书宋_GBK" w:cs="Times New Roman"/>
          <w:color w:val="000000"/>
          <w:kern w:val="0"/>
          <w:szCs w:val="22"/>
        </w:rPr>
        <w:t>世纪</w:t>
      </w:r>
      <w:r>
        <w:rPr>
          <w:rFonts w:ascii="NEU-BZ-S92" w:hAnsi="NEU-BZ-S92" w:eastAsia="方正书宋_GBK" w:cs="Times New Roman"/>
          <w:color w:val="000000"/>
          <w:kern w:val="0"/>
          <w:szCs w:val="22"/>
        </w:rPr>
        <w:t>80</w:t>
      </w:r>
      <w:r>
        <w:rPr>
          <w:rFonts w:hint="default" w:ascii="NEU-BZ-S92" w:hAnsi="NEU-BZ-S92" w:eastAsia="方正书宋_GBK" w:cs="Times New Roman"/>
          <w:color w:val="000000"/>
          <w:kern w:val="0"/>
          <w:szCs w:val="22"/>
        </w:rPr>
        <w:t>年代</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个体商贩则被称为“倒爷”。上述称呼的演变反映了</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人们对财富追求的渴望</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国家经济法规日益健全</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社会主义市场经济体制的建立</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国家经济政策逐渐放宽</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8</w:t>
      </w:r>
      <w:r>
        <w:rPr>
          <w:rFonts w:ascii="NEU-BZ-S92" w:hAnsi="NEU-BZ-S92" w:eastAsia="方正书宋_GBK" w:cs="Times New Roman"/>
          <w:color w:val="000000"/>
          <w:kern w:val="0"/>
          <w:sz w:val="24"/>
          <w:szCs w:val="22"/>
        </w:rPr>
        <w:t>.</w:t>
      </w:r>
      <w:r>
        <w:rPr>
          <w:rFonts w:ascii="NEU-BZ-S92" w:hAnsi="NEU-BZ-S92" w:eastAsia="方正书宋_GBK" w:cs="Times New Roman"/>
          <w:color w:val="000000"/>
          <w:kern w:val="0"/>
          <w:szCs w:val="22"/>
        </w:rPr>
        <w:t>1979</w:t>
      </w:r>
      <w:r>
        <w:rPr>
          <w:rFonts w:hint="default" w:ascii="NEU-BZ-S92" w:hAnsi="NEU-BZ-S92" w:eastAsia="方正书宋_GBK" w:cs="Times New Roman"/>
          <w:color w:val="000000"/>
          <w:kern w:val="0"/>
          <w:szCs w:val="22"/>
        </w:rPr>
        <w:t>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邓小平访美。</w:t>
      </w:r>
      <w:r>
        <w:rPr>
          <w:rFonts w:ascii="NEU-BZ-S92" w:hAnsi="NEU-BZ-S92" w:eastAsia="方正书宋_GBK" w:cs="Times New Roman"/>
          <w:color w:val="000000"/>
          <w:kern w:val="0"/>
          <w:szCs w:val="22"/>
        </w:rPr>
        <w:t>2018</w:t>
      </w:r>
      <w:r>
        <w:rPr>
          <w:rFonts w:hint="default" w:ascii="NEU-BZ-S92" w:hAnsi="NEU-BZ-S92" w:eastAsia="方正书宋_GBK" w:cs="Times New Roman"/>
          <w:color w:val="000000"/>
          <w:kern w:val="0"/>
          <w:szCs w:val="22"/>
        </w:rPr>
        <w:t>年</w:t>
      </w:r>
      <w:r>
        <w:rPr>
          <w:rFonts w:ascii="NEU-BZ-S92" w:hAnsi="NEU-BZ-S92" w:eastAsia="方正书宋_GBK" w:cs="Times New Roman"/>
          <w:color w:val="000000"/>
          <w:kern w:val="0"/>
          <w:szCs w:val="22"/>
        </w:rPr>
        <w:t>6</w:t>
      </w:r>
      <w:r>
        <w:rPr>
          <w:rFonts w:hint="default" w:ascii="NEU-BZ-S92" w:hAnsi="NEU-BZ-S92" w:eastAsia="方正书宋_GBK" w:cs="Times New Roman"/>
          <w:color w:val="000000"/>
          <w:kern w:val="0"/>
          <w:szCs w:val="22"/>
        </w:rPr>
        <w:t>月</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上海合作组织成员国元首理事会第十八次会议在中国青岛举行。这两次中国外交活动所体现的共同原则是</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推行以联合国为中心的多边外交</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与邻为友、以邻为伴</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促进区域性国际组织的交流合作</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自主选择、求同存异</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9</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下表所示为一些学者有关雅典民主政治的一些观点。据此能够被认定的历史结论是</w:t>
      </w:r>
    </w:p>
    <w:tbl>
      <w:tblPr>
        <w:tblStyle w:val="2"/>
        <w:tblW w:w="77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440"/>
        <w:gridCol w:w="63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学者</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观点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中国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陈唯声</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雅典民主政治的胜利是比较先进的商品经济对落后的自然经济的胜利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英国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芬利</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如果没有雅典帝国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就不可能有公元前</w:t>
            </w:r>
            <w:r>
              <w:rPr>
                <w:rFonts w:ascii="NEU-BZ-S92" w:hAnsi="NEU-BZ-S92" w:eastAsia="方正书宋_GBK" w:cs="Times New Roman"/>
                <w:color w:val="000000"/>
                <w:kern w:val="0"/>
                <w:sz w:val="18"/>
                <w:szCs w:val="22"/>
              </w:rPr>
              <w:t>5</w:t>
            </w:r>
            <w:r>
              <w:rPr>
                <w:rFonts w:hint="default" w:ascii="NEU-BZ-S92" w:hAnsi="NEU-BZ-S92" w:eastAsia="方正书宋_GBK" w:cs="Times New Roman"/>
                <w:color w:val="000000"/>
                <w:kern w:val="0"/>
                <w:sz w:val="18"/>
                <w:szCs w:val="22"/>
              </w:rPr>
              <w:t>世纪下半叶充分发展的民主制度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法国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克鲁瓦瑟</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雅典民主是希腊精神最伟大的创造物之一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44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中国</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易建平</w:t>
            </w:r>
          </w:p>
        </w:tc>
        <w:tc>
          <w:tcPr>
            <w:tcW w:w="630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民主政治与小国寡民之间存在一种必然的联系</w:t>
            </w:r>
          </w:p>
        </w:tc>
      </w:tr>
    </w:tbl>
    <w:p>
      <w:pPr>
        <w:widowControl/>
        <w:spacing w:line="282" w:lineRule="exact"/>
        <w:jc w:val="center"/>
        <w:rPr>
          <w:rFonts w:ascii="NEU-BZ-S92" w:hAnsi="NEU-BZ-S92" w:eastAsia="方正书宋_GBK" w:cs="Times New Roman"/>
          <w:color w:val="000000"/>
          <w:kern w:val="0"/>
          <w:szCs w:val="22"/>
        </w:rPr>
      </w:pP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雅典民主是多种因素综合作用的结果</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关于雅典民主政治的起源</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史学界存在多种看法</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外国人更多地从精神层面探讨雅典民主的产生</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中国学者的观点符合科学逻辑</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已成为学界共识</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10</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下面是</w:t>
      </w:r>
      <w:r>
        <w:rPr>
          <w:rFonts w:ascii="NEU-BZ-S92" w:hAnsi="NEU-BZ-S92" w:eastAsia="方正书宋_GBK" w:cs="Times New Roman"/>
          <w:color w:val="000000"/>
          <w:kern w:val="0"/>
          <w:szCs w:val="22"/>
        </w:rPr>
        <w:t>1475~1600</w:t>
      </w:r>
      <w:r>
        <w:rPr>
          <w:rFonts w:hint="default" w:ascii="NEU-BZ-S92" w:hAnsi="NEU-BZ-S92" w:eastAsia="方正书宋_GBK" w:cs="Times New Roman"/>
          <w:color w:val="000000"/>
          <w:kern w:val="0"/>
          <w:szCs w:val="22"/>
        </w:rPr>
        <w:t>年德国大学学生修读专业统计图。</w:t>
      </w:r>
    </w:p>
    <w:p>
      <w:pPr>
        <w:widowControl/>
        <w:spacing w:line="312" w:lineRule="atLeast"/>
        <w:jc w:val="center"/>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drawing>
          <wp:inline distT="0" distB="0" distL="0" distR="0">
            <wp:extent cx="3453765" cy="1440180"/>
            <wp:effectExtent l="0" t="0" r="13335" b="7620"/>
            <wp:docPr id="56" name="20JXTDZLSTZDY21-10T4.eps" descr="id:21474877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0JXTDZLSTZDY21-10T4.eps" descr="id:2147487753;FounderCES"/>
                    <pic:cNvPicPr>
                      <a:picLocks noChangeAspect="1"/>
                    </pic:cNvPicPr>
                  </pic:nvPicPr>
                  <pic:blipFill>
                    <a:blip r:embed="rId5"/>
                    <a:stretch>
                      <a:fillRect/>
                    </a:stretch>
                  </pic:blipFill>
                  <pic:spPr>
                    <a:xfrm>
                      <a:off x="0" y="0"/>
                      <a:ext cx="3454200" cy="1440720"/>
                    </a:xfrm>
                    <a:prstGeom prst="rect">
                      <a:avLst/>
                    </a:prstGeom>
                  </pic:spPr>
                </pic:pic>
              </a:graphicData>
            </a:graphic>
          </wp:inline>
        </w:drawing>
      </w:r>
    </w:p>
    <w:p>
      <w:pPr>
        <w:widowControl/>
        <w:spacing w:line="282" w:lineRule="exact"/>
        <w:jc w:val="left"/>
        <w:rPr>
          <w:rFonts w:ascii="NEU-BZ-S92" w:hAnsi="NEU-BZ-S92" w:eastAsia="方正书宋_GBK" w:cs="Times New Roman"/>
          <w:color w:val="000000"/>
          <w:kern w:val="0"/>
          <w:szCs w:val="22"/>
        </w:rPr>
      </w:pP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左图为新教大学</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右图为天主教大学。实线为世俗专业</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虚线为神学专业</w:t>
      </w:r>
      <w:r>
        <w:rPr>
          <w:rFonts w:ascii="方正书宋_GBK" w:hAnsi="方正书宋_GBK" w:eastAsia="方正书宋_GBK" w:cs="Times New Roman"/>
          <w:color w:val="000000"/>
          <w:kern w:val="0"/>
          <w:sz w:val="18"/>
          <w:szCs w:val="22"/>
        </w:rPr>
        <w:t>)</w:t>
      </w:r>
    </w:p>
    <w:p>
      <w:pPr>
        <w:widowControl/>
        <w:spacing w:line="31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Cs w:val="22"/>
        </w:rPr>
        <w:t>据此可以推知</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德国宗教改革成效最为显著</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天主教的垄断地位受到冲击</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宗教改革影响学生选择专业</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世俗文化引导社会发展潮流</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11</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法国历史学家米涅</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1796-1884</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在《法国革命史》一书中谈到路易十六之死时说他是“唯一具有一切好国王所应有的畏上帝和爱百姓这两个优点的国君”。托克维尔</w:t>
      </w:r>
      <w:r>
        <w:rPr>
          <w:rFonts w:ascii="方正书宋_GBK" w:hAnsi="方正书宋_GBK" w:eastAsia="方正书宋_GBK" w:cs="Times New Roman"/>
          <w:color w:val="000000"/>
          <w:kern w:val="0"/>
          <w:szCs w:val="22"/>
        </w:rPr>
        <w:t>(</w:t>
      </w:r>
      <w:r>
        <w:rPr>
          <w:rFonts w:ascii="NEU-BZ-S92" w:hAnsi="NEU-BZ-S92" w:eastAsia="方正书宋_GBK" w:cs="Times New Roman"/>
          <w:color w:val="000000"/>
          <w:kern w:val="0"/>
          <w:szCs w:val="22"/>
        </w:rPr>
        <w:t>1805-1859</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在《旧制度与大革命》中说</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在路易十六时代“对自由和人的生命的尊重经常可见</w:t>
      </w:r>
      <w:r>
        <w:rPr>
          <w:rFonts w:ascii="方正书宋_GBK" w:hAnsi="方正书宋_GBK" w:eastAsia="方正书宋_GBK" w:cs="Times New Roman"/>
          <w:color w:val="000000"/>
          <w:kern w:val="0"/>
          <w:szCs w:val="22"/>
        </w:rPr>
        <w:t>,</w:t>
      </w:r>
      <w:r>
        <w:rPr>
          <w:rFonts w:hint="default" w:ascii="NEU-BZ-S92" w:hAnsi="NEU-BZ-S92" w:eastAsia="方正书宋_GBK" w:cs="Times New Roman"/>
          <w:color w:val="000000"/>
          <w:kern w:val="0"/>
          <w:szCs w:val="22"/>
        </w:rPr>
        <w:t>尤其可以见到对穷人苦难的真正关心”。据此可知</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两者受启蒙思想的影响大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两者守旧思想意识较强</w:t>
      </w: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君主立宪制确立艰难</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两者否定已经确立的共和政体</w:t>
      </w:r>
    </w:p>
    <w:p>
      <w:pPr>
        <w:widowControl/>
        <w:spacing w:line="342" w:lineRule="exact"/>
        <w:jc w:val="left"/>
        <w:rPr>
          <w:rFonts w:ascii="NEU-BZ-S92" w:hAnsi="NEU-BZ-S92" w:eastAsia="方正书宋_GBK" w:cs="Times New Roman"/>
          <w:color w:val="000000"/>
          <w:kern w:val="0"/>
          <w:szCs w:val="22"/>
        </w:rPr>
      </w:pPr>
      <w:r>
        <w:rPr>
          <w:rFonts w:hint="eastAsia" w:ascii="NEU-BZ-S92" w:hAnsi="NEU-BZ-S92" w:eastAsia="方正黑体_GBK" w:cs="Times New Roman"/>
          <w:color w:val="000000"/>
          <w:kern w:val="0"/>
          <w:sz w:val="18"/>
          <w:szCs w:val="22"/>
          <w:lang w:val="en-US" w:eastAsia="zh-CN"/>
        </w:rPr>
        <w:t xml:space="preserve"> </w:t>
      </w:r>
      <w:r>
        <w:rPr>
          <w:rFonts w:ascii="NEU-H5-S92" w:hAnsi="NEU-H5-S92" w:eastAsia="方正书宋_GBK" w:cs="Times New Roman"/>
          <w:color w:val="000000"/>
          <w:kern w:val="0"/>
          <w:sz w:val="24"/>
          <w:szCs w:val="22"/>
        </w:rPr>
        <w:t>12</w:t>
      </w:r>
      <w:r>
        <w:rPr>
          <w:rFonts w:ascii="NEU-BZ-S92" w:hAnsi="NEU-BZ-S92" w:eastAsia="方正书宋_GBK" w:cs="Times New Roman"/>
          <w:color w:val="000000"/>
          <w:kern w:val="0"/>
          <w:sz w:val="24"/>
          <w:szCs w:val="22"/>
        </w:rPr>
        <w:t>.</w:t>
      </w:r>
      <w:r>
        <w:rPr>
          <w:rFonts w:hint="default" w:ascii="NEU-BZ-S92" w:hAnsi="NEU-BZ-S92" w:eastAsia="方正书宋_GBK" w:cs="Times New Roman"/>
          <w:color w:val="000000"/>
          <w:kern w:val="0"/>
          <w:szCs w:val="22"/>
        </w:rPr>
        <w:t>下表为不结盟运动成立至今所倡导的宗旨和任务的变化表。这反映了其变化的特点是</w:t>
      </w:r>
    </w:p>
    <w:tbl>
      <w:tblPr>
        <w:tblStyle w:val="2"/>
        <w:tblW w:w="828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20"/>
        <w:gridCol w:w="57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时期</w:t>
            </w:r>
          </w:p>
        </w:tc>
        <w:tc>
          <w:tcPr>
            <w:tcW w:w="576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黑体_GBK" w:cs="Times New Roman"/>
                <w:color w:val="000000"/>
                <w:kern w:val="0"/>
                <w:sz w:val="18"/>
                <w:szCs w:val="22"/>
              </w:rPr>
              <w:t>宗旨和任务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成立初期至</w:t>
            </w:r>
            <w:r>
              <w:rPr>
                <w:rFonts w:ascii="NEU-BZ-S92" w:hAnsi="NEU-BZ-S92" w:eastAsia="方正书宋_GBK" w:cs="Times New Roman"/>
                <w:color w:val="000000"/>
                <w:kern w:val="0"/>
                <w:sz w:val="18"/>
                <w:szCs w:val="22"/>
              </w:rPr>
              <w:t>20</w:t>
            </w:r>
            <w:r>
              <w:rPr>
                <w:rFonts w:hint="default" w:ascii="NEU-BZ-S92" w:hAnsi="NEU-BZ-S92" w:eastAsia="方正书宋_GBK" w:cs="Times New Roman"/>
                <w:color w:val="000000"/>
                <w:kern w:val="0"/>
                <w:sz w:val="18"/>
                <w:szCs w:val="22"/>
              </w:rPr>
              <w:t>世纪</w:t>
            </w:r>
            <w:r>
              <w:rPr>
                <w:rFonts w:ascii="NEU-BZ-S92" w:hAnsi="NEU-BZ-S92" w:eastAsia="方正书宋_GBK" w:cs="Times New Roman"/>
                <w:color w:val="000000"/>
                <w:kern w:val="0"/>
                <w:sz w:val="18"/>
                <w:szCs w:val="22"/>
              </w:rPr>
              <w:t>90</w:t>
            </w:r>
            <w:r>
              <w:rPr>
                <w:rFonts w:hint="default" w:ascii="NEU-BZ-S92" w:hAnsi="NEU-BZ-S92" w:eastAsia="方正书宋_GBK" w:cs="Times New Roman"/>
                <w:color w:val="000000"/>
                <w:kern w:val="0"/>
                <w:sz w:val="18"/>
                <w:szCs w:val="22"/>
              </w:rPr>
              <w:t>年代</w:t>
            </w:r>
          </w:p>
        </w:tc>
        <w:tc>
          <w:tcPr>
            <w:tcW w:w="5760" w:type="dxa"/>
            <w:tcMar>
              <w:left w:w="105" w:type="dxa"/>
              <w:right w:w="105" w:type="dxa"/>
            </w:tcMar>
            <w:vAlign w:val="center"/>
          </w:tcPr>
          <w:p>
            <w:pPr>
              <w:widowControl/>
              <w:spacing w:line="28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反对帝国主义、新老殖民主义、种族主义和一切形式的外来统治和霸权主义等</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520" w:type="dxa"/>
            <w:tcMar>
              <w:left w:w="0" w:type="dxa"/>
              <w:right w:w="0" w:type="dxa"/>
            </w:tcMar>
            <w:vAlign w:val="center"/>
          </w:tcPr>
          <w:p>
            <w:pPr>
              <w:widowControl/>
              <w:spacing w:line="282" w:lineRule="exact"/>
              <w:jc w:val="center"/>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进入</w:t>
            </w:r>
            <w:r>
              <w:rPr>
                <w:rFonts w:ascii="NEU-BZ-S92" w:hAnsi="NEU-BZ-S92" w:eastAsia="方正书宋_GBK" w:cs="Times New Roman"/>
                <w:color w:val="000000"/>
                <w:kern w:val="0"/>
                <w:sz w:val="18"/>
                <w:szCs w:val="22"/>
              </w:rPr>
              <w:t>21</w:t>
            </w:r>
            <w:r>
              <w:rPr>
                <w:rFonts w:hint="default" w:ascii="NEU-BZ-S92" w:hAnsi="NEU-BZ-S92" w:eastAsia="方正书宋_GBK" w:cs="Times New Roman"/>
                <w:color w:val="000000"/>
                <w:kern w:val="0"/>
                <w:sz w:val="18"/>
                <w:szCs w:val="22"/>
              </w:rPr>
              <w:t>世纪后</w:t>
            </w:r>
          </w:p>
        </w:tc>
        <w:tc>
          <w:tcPr>
            <w:tcW w:w="5760" w:type="dxa"/>
            <w:tcMar>
              <w:left w:w="105" w:type="dxa"/>
              <w:right w:w="105" w:type="dxa"/>
            </w:tcMar>
            <w:vAlign w:val="center"/>
          </w:tcPr>
          <w:p>
            <w:pPr>
              <w:widowControl/>
              <w:spacing w:line="282" w:lineRule="exact"/>
              <w:jc w:val="left"/>
              <w:rPr>
                <w:rFonts w:ascii="NEU-BZ-S92" w:hAnsi="NEU-BZ-S92" w:eastAsia="方正书宋_GBK" w:cs="Times New Roman"/>
                <w:color w:val="000000"/>
                <w:kern w:val="0"/>
                <w:szCs w:val="22"/>
              </w:rPr>
            </w:pPr>
            <w:r>
              <w:rPr>
                <w:rFonts w:hint="default" w:ascii="NEU-BZ-S92" w:hAnsi="NEU-BZ-S92" w:eastAsia="方正书宋_GBK" w:cs="Times New Roman"/>
                <w:color w:val="000000"/>
                <w:kern w:val="0"/>
                <w:sz w:val="18"/>
                <w:szCs w:val="22"/>
              </w:rPr>
              <w:t>维护世界和平与安全</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推行平等、互不侵犯、多边主义等原则</w:t>
            </w:r>
            <w:r>
              <w:rPr>
                <w:rFonts w:ascii="方正书宋_GBK" w:hAnsi="方正书宋_GBK" w:eastAsia="方正书宋_GBK" w:cs="Times New Roman"/>
                <w:color w:val="000000"/>
                <w:kern w:val="0"/>
                <w:sz w:val="18"/>
                <w:szCs w:val="22"/>
              </w:rPr>
              <w:t>,</w:t>
            </w:r>
            <w:r>
              <w:rPr>
                <w:rFonts w:hint="default" w:ascii="NEU-BZ-S92" w:hAnsi="NEU-BZ-S92" w:eastAsia="方正书宋_GBK" w:cs="Times New Roman"/>
                <w:color w:val="000000"/>
                <w:kern w:val="0"/>
                <w:sz w:val="18"/>
                <w:szCs w:val="22"/>
              </w:rPr>
              <w:t>并为来自不发达地区的成员国在国际谈判中争取权益</w:t>
            </w:r>
          </w:p>
        </w:tc>
      </w:tr>
    </w:tbl>
    <w:p>
      <w:pPr>
        <w:widowControl/>
        <w:spacing w:line="282" w:lineRule="exact"/>
        <w:jc w:val="center"/>
        <w:rPr>
          <w:rFonts w:ascii="NEU-BZ-S92" w:hAnsi="NEU-BZ-S92" w:eastAsia="方正书宋_GBK" w:cs="Times New Roman"/>
          <w:color w:val="000000"/>
          <w:kern w:val="0"/>
          <w:szCs w:val="22"/>
        </w:rPr>
      </w:pPr>
    </w:p>
    <w:p>
      <w:pPr>
        <w:widowControl/>
        <w:spacing w:line="312" w:lineRule="exact"/>
        <w:jc w:val="left"/>
        <w:rPr>
          <w:rFonts w:ascii="NEU-BZ-S92" w:hAnsi="NEU-BZ-S92" w:eastAsia="方正书宋_GBK" w:cs="Times New Roman"/>
          <w:color w:val="000000"/>
          <w:kern w:val="0"/>
          <w:szCs w:val="22"/>
        </w:rPr>
      </w:pPr>
      <w:r>
        <w:rPr>
          <w:rFonts w:ascii="NEU-BZ-S92" w:hAnsi="NEU-BZ-S92" w:eastAsia="方正书宋_GBK" w:cs="Times New Roman"/>
          <w:color w:val="000000"/>
          <w:kern w:val="0"/>
          <w:szCs w:val="22"/>
        </w:rPr>
        <w:t>A.</w:t>
      </w:r>
      <w:r>
        <w:rPr>
          <w:rFonts w:hint="default" w:ascii="NEU-BZ-S92" w:hAnsi="NEU-BZ-S92" w:eastAsia="方正书宋_GBK" w:cs="Times New Roman"/>
          <w:color w:val="000000"/>
          <w:kern w:val="0"/>
          <w:szCs w:val="22"/>
        </w:rPr>
        <w:t>继承性和延续性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B.</w:t>
      </w:r>
      <w:r>
        <w:rPr>
          <w:rFonts w:hint="default" w:ascii="NEU-BZ-S92" w:hAnsi="NEU-BZ-S92" w:eastAsia="方正书宋_GBK" w:cs="Times New Roman"/>
          <w:color w:val="000000"/>
          <w:kern w:val="0"/>
          <w:szCs w:val="22"/>
        </w:rPr>
        <w:t>发展及与时俱进</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C.</w:t>
      </w:r>
      <w:r>
        <w:rPr>
          <w:rFonts w:hint="default" w:ascii="NEU-BZ-S92" w:hAnsi="NEU-BZ-S92" w:eastAsia="方正书宋_GBK" w:cs="Times New Roman"/>
          <w:color w:val="000000"/>
          <w:kern w:val="0"/>
          <w:szCs w:val="22"/>
        </w:rPr>
        <w:t>长期性和稳固性</w:t>
      </w:r>
      <w:r>
        <w:rPr>
          <w:rFonts w:hint="default" w:ascii="NEU-BZ-S92" w:hAnsi="NEU-BZ-S92" w:eastAsia="方正书宋_GBK" w:cs="Times New Roman"/>
          <w:color w:val="000000"/>
          <w:kern w:val="0"/>
          <w:szCs w:val="22"/>
        </w:rPr>
        <w:tab/>
      </w:r>
      <w:r>
        <w:rPr>
          <w:rFonts w:ascii="NEU-BZ-S92" w:hAnsi="NEU-BZ-S92" w:eastAsia="方正书宋_GBK" w:cs="Times New Roman"/>
          <w:color w:val="000000"/>
          <w:kern w:val="0"/>
          <w:szCs w:val="22"/>
        </w:rPr>
        <w:t>D.</w:t>
      </w:r>
      <w:r>
        <w:rPr>
          <w:rFonts w:hint="default" w:ascii="NEU-BZ-S92" w:hAnsi="NEU-BZ-S92" w:eastAsia="方正书宋_GBK" w:cs="Times New Roman"/>
          <w:color w:val="000000"/>
          <w:kern w:val="0"/>
          <w:szCs w:val="22"/>
        </w:rPr>
        <w:t>民族解放的性质</w:t>
      </w:r>
    </w:p>
    <w:p>
      <w:pPr>
        <w:rPr>
          <w:rFonts w:hint="eastAsia" w:eastAsiaTheme="minorEastAsia"/>
          <w:lang w:val="en-US" w:eastAsia="zh-CN"/>
        </w:rPr>
      </w:pPr>
      <w:r>
        <w:rPr>
          <w:rFonts w:hint="eastAsia" w:ascii="NEU-BZ-S92" w:hAnsi="NEU-BZ-S92" w:eastAsia="方正黑体_GBK" w:cs="Times New Roman"/>
          <w:color w:val="000000"/>
          <w:kern w:val="0"/>
          <w:sz w:val="18"/>
          <w:szCs w:val="2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方正准圆_GBK">
    <w:altName w:val="宋体"/>
    <w:panose1 w:val="03000509000000000000"/>
    <w:charset w:val="86"/>
    <w:family w:val="script"/>
    <w:pitch w:val="default"/>
    <w:sig w:usb0="00000000" w:usb1="00000000" w:usb2="00000010" w:usb3="00000000" w:csb0="00040000" w:csb1="00000000"/>
  </w:font>
  <w:font w:name="NEU-H5-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A76C3"/>
    <w:multiLevelType w:val="singleLevel"/>
    <w:tmpl w:val="A29A76C3"/>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41718"/>
    <w:rsid w:val="26441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S92"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2020-02-06T06:50:00Z</dcterms:created>
  <dc:creator>Administrator</dc:creator>
  <cp:lastModifiedBy>Administrator</cp:lastModifiedBy>
  <dcterms:modified xsi:type="dcterms:W3CDTF">2020-02-06T06:53:26Z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